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C4C8" w14:textId="77777777" w:rsidR="00227315" w:rsidRDefault="00227315">
      <w:pPr>
        <w:pStyle w:val="BodyText"/>
        <w:spacing w:before="1"/>
        <w:rPr>
          <w:rFonts w:ascii="Times New Roman"/>
          <w:sz w:val="20"/>
        </w:rPr>
      </w:pPr>
    </w:p>
    <w:p w14:paraId="263AC4C9" w14:textId="77777777" w:rsidR="00227315" w:rsidRDefault="004174AE">
      <w:pPr>
        <w:pStyle w:val="Title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263AC4F2" wp14:editId="263AC4F3">
            <wp:simplePos x="0" y="0"/>
            <wp:positionH relativeFrom="page">
              <wp:posOffset>5302825</wp:posOffset>
            </wp:positionH>
            <wp:positionV relativeFrom="paragraph">
              <wp:posOffset>-149310</wp:posOffset>
            </wp:positionV>
            <wp:extent cx="1768205" cy="4585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205" cy="45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Enhanced Plan Benefits</w:t>
      </w:r>
    </w:p>
    <w:p w14:paraId="263AC4CA" w14:textId="2A155913" w:rsidR="00227315" w:rsidRDefault="004174AE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63AC4F4" wp14:editId="4E2CDC89">
                <wp:simplePos x="0" y="0"/>
                <wp:positionH relativeFrom="page">
                  <wp:posOffset>702310</wp:posOffset>
                </wp:positionH>
                <wp:positionV relativeFrom="paragraph">
                  <wp:posOffset>151130</wp:posOffset>
                </wp:positionV>
                <wp:extent cx="643890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4F22" id="Rectangle 2" o:spid="_x0000_s1026" style="position:absolute;margin-left:55.3pt;margin-top:11.9pt;width:507pt;height: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5b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63AC4CB" w14:textId="77777777" w:rsidR="00227315" w:rsidRDefault="00227315">
      <w:pPr>
        <w:pStyle w:val="BodyText"/>
        <w:spacing w:before="2"/>
        <w:rPr>
          <w:sz w:val="9"/>
        </w:rPr>
      </w:pPr>
    </w:p>
    <w:p w14:paraId="263AC4CC" w14:textId="77777777" w:rsidR="00227315" w:rsidRDefault="004174AE">
      <w:pPr>
        <w:pStyle w:val="Heading1"/>
        <w:spacing w:before="56"/>
        <w:jc w:val="both"/>
      </w:pPr>
      <w:r>
        <w:rPr>
          <w:sz w:val="22"/>
        </w:rPr>
        <w:t>P</w:t>
      </w:r>
      <w:r>
        <w:t>hysician and Hospital PPO Network - $10 Office Visit Prepay</w:t>
      </w:r>
    </w:p>
    <w:p w14:paraId="263AC4CD" w14:textId="13517C9C" w:rsidR="00227315" w:rsidRDefault="004174AE">
      <w:pPr>
        <w:pStyle w:val="BodyText"/>
        <w:spacing w:before="57" w:line="244" w:lineRule="auto"/>
        <w:ind w:left="137" w:right="3509"/>
        <w:jc w:val="both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63AC4F5" wp14:editId="0A081B7B">
            <wp:simplePos x="0" y="0"/>
            <wp:positionH relativeFrom="page">
              <wp:posOffset>5562802</wp:posOffset>
            </wp:positionH>
            <wp:positionV relativeFrom="paragraph">
              <wp:posOffset>84632</wp:posOffset>
            </wp:positionV>
            <wp:extent cx="1796051" cy="6321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051" cy="6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First </w:t>
      </w:r>
      <w:r w:rsidR="00210ADD">
        <w:t>Health is a national PPO network, with wide</w:t>
      </w:r>
      <w:r>
        <w:t>-</w:t>
      </w:r>
      <w:r w:rsidR="00210ADD">
        <w:t>ranging access in both urban and rural areas</w:t>
      </w:r>
      <w:r>
        <w:t xml:space="preserve">. Although employees are free to use any provider they choose, when they access services covered under the GLI plan, from a provider who participates in the First Health preferred provider network, they may be eligible for discounts off the total that is due for the service.  </w:t>
      </w:r>
      <w:r w:rsidR="00210ADD">
        <w:t>This could reduce</w:t>
      </w:r>
      <w:r>
        <w:t xml:space="preserve"> the amount owed after the full insurance benefit has been paid. NOTE: Insureds pay </w:t>
      </w:r>
      <w:r>
        <w:rPr>
          <w:b/>
        </w:rPr>
        <w:t xml:space="preserve">a $10 Office Visit Prepay </w:t>
      </w:r>
      <w:r>
        <w:t>at in-network physicians and urgent care</w:t>
      </w:r>
      <w:r>
        <w:rPr>
          <w:spacing w:val="-9"/>
        </w:rPr>
        <w:t xml:space="preserve"> </w:t>
      </w:r>
      <w:r>
        <w:t>centers.</w:t>
      </w:r>
    </w:p>
    <w:p w14:paraId="263AC4CE" w14:textId="77777777" w:rsidR="00227315" w:rsidRDefault="004174AE">
      <w:pPr>
        <w:pStyle w:val="Heading1"/>
        <w:spacing w:before="2"/>
      </w:pPr>
      <w:r>
        <w:t>Provider Look Up:</w:t>
      </w:r>
    </w:p>
    <w:p w14:paraId="263AC4CF" w14:textId="77777777" w:rsidR="00227315" w:rsidRDefault="004174AE">
      <w:pPr>
        <w:pStyle w:val="BodyText"/>
        <w:spacing w:before="5"/>
        <w:ind w:left="137"/>
      </w:pPr>
      <w:r>
        <w:t>800.226.5116</w:t>
      </w:r>
    </w:p>
    <w:p w14:paraId="5195620F" w14:textId="77777777" w:rsidR="00412028" w:rsidRDefault="00412028" w:rsidP="00412028">
      <w:pPr>
        <w:pStyle w:val="BodyText"/>
        <w:spacing w:before="5"/>
        <w:ind w:left="137"/>
      </w:pPr>
      <w:r w:rsidRPr="00F4596F">
        <w:rPr>
          <w:rFonts w:asciiTheme="minorHAnsi" w:eastAsiaTheme="minorHAnsi" w:hAnsiTheme="minorHAnsi" w:cstheme="minorHAnsi"/>
          <w:b/>
          <w:bCs/>
        </w:rPr>
        <w:t xml:space="preserve">For the </w:t>
      </w:r>
      <w:r>
        <w:rPr>
          <w:rFonts w:asciiTheme="minorHAnsi" w:eastAsiaTheme="minorHAnsi" w:hAnsiTheme="minorHAnsi" w:cstheme="minorHAnsi"/>
          <w:b/>
          <w:bCs/>
        </w:rPr>
        <w:t>GLI</w:t>
      </w:r>
      <w:r w:rsidRPr="00F4596F">
        <w:rPr>
          <w:rFonts w:asciiTheme="minorHAnsi" w:eastAsiaTheme="minorHAnsi" w:hAnsiTheme="minorHAnsi" w:cstheme="minorHAnsi"/>
          <w:b/>
          <w:bCs/>
        </w:rPr>
        <w:t xml:space="preserve"> plan</w:t>
      </w:r>
      <w:r>
        <w:rPr>
          <w:noProof/>
        </w:rPr>
        <w:t xml:space="preserve"> </w:t>
      </w:r>
      <w:hyperlink r:id="rId7" w:history="1">
        <w:r w:rsidRPr="00F53DEC">
          <w:rPr>
            <w:rStyle w:val="Hyperlink"/>
            <w:noProof/>
          </w:rPr>
          <w:t>www.firsthealthlbp.com/fhlbpfi</w:t>
        </w:r>
      </w:hyperlink>
      <w:r>
        <w:rPr>
          <w:noProof/>
        </w:rPr>
        <w:t xml:space="preserve"> </w:t>
      </w:r>
    </w:p>
    <w:p w14:paraId="263AC4D1" w14:textId="77777777" w:rsidR="00227315" w:rsidRDefault="00227315">
      <w:pPr>
        <w:pStyle w:val="BodyText"/>
      </w:pPr>
    </w:p>
    <w:p w14:paraId="263AC4D2" w14:textId="77777777" w:rsidR="00227315" w:rsidRDefault="004174AE">
      <w:pPr>
        <w:pStyle w:val="Heading1"/>
        <w:spacing w:before="134"/>
        <w:jc w:val="both"/>
      </w:pPr>
      <w:r>
        <w:t>Pharmacy Network and Prescription Discounts</w:t>
      </w:r>
    </w:p>
    <w:p w14:paraId="263AC4D3" w14:textId="06EE6AA3" w:rsidR="00227315" w:rsidRDefault="004174AE">
      <w:pPr>
        <w:pStyle w:val="BodyText"/>
        <w:spacing w:before="49"/>
        <w:ind w:left="137" w:right="3489"/>
        <w:jc w:val="both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263AC4F7" wp14:editId="263AC4F8">
            <wp:simplePos x="0" y="0"/>
            <wp:positionH relativeFrom="page">
              <wp:posOffset>5691542</wp:posOffset>
            </wp:positionH>
            <wp:positionV relativeFrom="paragraph">
              <wp:posOffset>65817</wp:posOffset>
            </wp:positionV>
            <wp:extent cx="1517196" cy="56801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96" cy="56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NBFSA Pharmacy Benefit Administration (PBA) benefits included with this plan members access to savings on a wide variety of prescription drugs. The NBFSA nationwide pharmacy network includes </w:t>
      </w:r>
      <w:hyperlink r:id="rId9">
        <w:r>
          <w:t xml:space="preserve">all major chains, retailers, </w:t>
        </w:r>
      </w:hyperlink>
      <w:r>
        <w:t>grocers, and independents. Employees can use the information on their ID cards to get prescriptions filled at any participating</w:t>
      </w:r>
      <w:r>
        <w:rPr>
          <w:spacing w:val="-9"/>
        </w:rPr>
        <w:t xml:space="preserve"> </w:t>
      </w:r>
      <w:r>
        <w:t>pharmacy.</w:t>
      </w:r>
      <w:r w:rsidR="00267531">
        <w:t xml:space="preserve">  </w:t>
      </w:r>
    </w:p>
    <w:p w14:paraId="263AC4D4" w14:textId="77777777" w:rsidR="00227315" w:rsidRDefault="004174AE">
      <w:pPr>
        <w:pStyle w:val="Heading1"/>
        <w:spacing w:before="42" w:line="219" w:lineRule="exact"/>
      </w:pPr>
      <w:r>
        <w:t>Pharmacy Help Desk:</w:t>
      </w:r>
    </w:p>
    <w:p w14:paraId="278ECE4F" w14:textId="6DE9BBDA" w:rsidR="004174AE" w:rsidRDefault="00F4596F" w:rsidP="00F4596F">
      <w:pPr>
        <w:pStyle w:val="BodyText"/>
        <w:spacing w:line="218" w:lineRule="exact"/>
        <w:ind w:left="137"/>
        <w:rPr>
          <w:rStyle w:val="Hyperlink"/>
          <w:rFonts w:eastAsia="Times New Roman"/>
        </w:rPr>
      </w:pPr>
      <w:r>
        <w:t>Call:</w:t>
      </w:r>
      <w:r w:rsidR="004174AE">
        <w:t>1-877-539-3940</w:t>
      </w:r>
      <w:r>
        <w:t xml:space="preserve"> </w:t>
      </w:r>
      <w:r w:rsidR="00267531">
        <w:t>or visit the link listed on your ID Card</w:t>
      </w:r>
    </w:p>
    <w:p w14:paraId="06084C4D" w14:textId="77777777" w:rsidR="00F4596F" w:rsidRDefault="00F4596F" w:rsidP="00F4596F">
      <w:pPr>
        <w:widowControl/>
        <w:adjustRightInd w:val="0"/>
        <w:ind w:left="180"/>
        <w:rPr>
          <w:rFonts w:asciiTheme="minorHAnsi" w:eastAsiaTheme="minorHAnsi" w:hAnsiTheme="minorHAnsi" w:cstheme="minorHAnsi"/>
          <w:b/>
          <w:bCs/>
          <w:sz w:val="18"/>
          <w:szCs w:val="18"/>
        </w:rPr>
      </w:pPr>
    </w:p>
    <w:p w14:paraId="263AC4D9" w14:textId="41C02D4D" w:rsidR="00227315" w:rsidRDefault="00D9585F">
      <w:pPr>
        <w:pStyle w:val="BodyText"/>
        <w:spacing w:line="218" w:lineRule="exact"/>
        <w:ind w:left="131"/>
      </w:pPr>
      <w:proofErr w:type="spellStart"/>
      <w:r>
        <w:t>MeMD</w:t>
      </w:r>
      <w:proofErr w:type="spellEnd"/>
      <w:r>
        <w:t xml:space="preserve"> </w:t>
      </w:r>
      <w:r w:rsidR="004174AE">
        <w:t>provides 24/7/365 access to board certified doctors and pediatricians.</w:t>
      </w:r>
    </w:p>
    <w:p w14:paraId="263AC4DA" w14:textId="0496B5C6" w:rsidR="00227315" w:rsidRDefault="00D9585F">
      <w:pPr>
        <w:pStyle w:val="BodyText"/>
        <w:spacing w:before="6"/>
        <w:rPr>
          <w:sz w:val="13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CCC69B" wp14:editId="15BE7099">
            <wp:simplePos x="0" y="0"/>
            <wp:positionH relativeFrom="column">
              <wp:posOffset>5029200</wp:posOffset>
            </wp:positionH>
            <wp:positionV relativeFrom="paragraph">
              <wp:posOffset>52070</wp:posOffset>
            </wp:positionV>
            <wp:extent cx="1525270" cy="794514"/>
            <wp:effectExtent l="0" t="0" r="0" b="571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79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5E937" w14:textId="77777777" w:rsidR="00D9585F" w:rsidRPr="000950C0" w:rsidRDefault="00D9585F" w:rsidP="00D9585F">
      <w:pPr>
        <w:pStyle w:val="Default"/>
        <w:numPr>
          <w:ilvl w:val="0"/>
          <w:numId w:val="2"/>
        </w:numPr>
        <w:ind w:left="720"/>
        <w:rPr>
          <w:rFonts w:ascii="Calibri" w:eastAsia="Calibri" w:hAnsi="Calibri" w:cs="Calibri"/>
          <w:color w:val="auto"/>
          <w:sz w:val="18"/>
          <w:szCs w:val="18"/>
        </w:rPr>
      </w:pPr>
      <w:r w:rsidRPr="000950C0">
        <w:rPr>
          <w:rFonts w:ascii="Calibri" w:eastAsia="Calibri" w:hAnsi="Calibri" w:cs="Calibri"/>
          <w:color w:val="auto"/>
          <w:sz w:val="18"/>
          <w:szCs w:val="18"/>
        </w:rPr>
        <w:t>24/7 access to consult with a licensed physician by phone or video</w:t>
      </w:r>
    </w:p>
    <w:p w14:paraId="3EE0AA76" w14:textId="77777777" w:rsidR="00D9585F" w:rsidRPr="000950C0" w:rsidRDefault="00D9585F" w:rsidP="00D9585F">
      <w:pPr>
        <w:pStyle w:val="Default"/>
        <w:numPr>
          <w:ilvl w:val="0"/>
          <w:numId w:val="2"/>
        </w:numPr>
        <w:ind w:left="720"/>
        <w:rPr>
          <w:rFonts w:ascii="Calibri" w:eastAsia="Calibri" w:hAnsi="Calibri" w:cs="Calibri"/>
          <w:color w:val="auto"/>
          <w:sz w:val="18"/>
          <w:szCs w:val="18"/>
        </w:rPr>
      </w:pPr>
      <w:r w:rsidRPr="000950C0">
        <w:rPr>
          <w:rFonts w:ascii="Calibri" w:eastAsia="Calibri" w:hAnsi="Calibri" w:cs="Calibri"/>
          <w:color w:val="auto"/>
          <w:sz w:val="18"/>
          <w:szCs w:val="18"/>
        </w:rPr>
        <w:t>$0 consult fee and unlimited visits for all urgent and primary care visits</w:t>
      </w:r>
    </w:p>
    <w:p w14:paraId="4BF855A5" w14:textId="77777777" w:rsidR="00D9585F" w:rsidRPr="000950C0" w:rsidRDefault="00D9585F" w:rsidP="00D9585F">
      <w:pPr>
        <w:pStyle w:val="Default"/>
        <w:numPr>
          <w:ilvl w:val="0"/>
          <w:numId w:val="2"/>
        </w:numPr>
        <w:ind w:left="720"/>
        <w:rPr>
          <w:rFonts w:ascii="Calibri" w:eastAsia="Calibri" w:hAnsi="Calibri" w:cs="Calibri"/>
          <w:color w:val="auto"/>
          <w:sz w:val="18"/>
          <w:szCs w:val="18"/>
        </w:rPr>
      </w:pPr>
      <w:r w:rsidRPr="000950C0">
        <w:rPr>
          <w:rFonts w:ascii="Calibri" w:eastAsia="Calibri" w:hAnsi="Calibri" w:cs="Calibri"/>
          <w:color w:val="auto"/>
          <w:sz w:val="18"/>
          <w:szCs w:val="18"/>
        </w:rPr>
        <w:t>Physicians can write prescriptions when applicable</w:t>
      </w:r>
    </w:p>
    <w:p w14:paraId="10FA808C" w14:textId="77777777" w:rsidR="00D9585F" w:rsidRPr="000950C0" w:rsidRDefault="00D9585F" w:rsidP="00D9585F">
      <w:pPr>
        <w:pStyle w:val="Default"/>
        <w:numPr>
          <w:ilvl w:val="0"/>
          <w:numId w:val="2"/>
        </w:numPr>
        <w:ind w:left="720"/>
        <w:rPr>
          <w:rFonts w:ascii="Calibri" w:eastAsia="Calibri" w:hAnsi="Calibri" w:cs="Calibri"/>
          <w:color w:val="auto"/>
          <w:sz w:val="18"/>
          <w:szCs w:val="18"/>
        </w:rPr>
      </w:pPr>
      <w:r w:rsidRPr="000950C0">
        <w:rPr>
          <w:rFonts w:ascii="Calibri" w:eastAsia="Calibri" w:hAnsi="Calibri" w:cs="Calibri"/>
          <w:color w:val="auto"/>
          <w:sz w:val="18"/>
          <w:szCs w:val="18"/>
        </w:rPr>
        <w:t>Link: memd.me/</w:t>
      </w:r>
      <w:proofErr w:type="spellStart"/>
      <w:r w:rsidRPr="000950C0">
        <w:rPr>
          <w:rFonts w:ascii="Calibri" w:eastAsia="Calibri" w:hAnsi="Calibri" w:cs="Calibri"/>
          <w:color w:val="auto"/>
          <w:sz w:val="18"/>
          <w:szCs w:val="18"/>
        </w:rPr>
        <w:t>telemed</w:t>
      </w:r>
      <w:proofErr w:type="spellEnd"/>
      <w:r w:rsidRPr="000950C0">
        <w:rPr>
          <w:rFonts w:ascii="Calibri" w:eastAsia="Calibri" w:hAnsi="Calibri" w:cs="Calibri"/>
          <w:color w:val="auto"/>
          <w:sz w:val="18"/>
          <w:szCs w:val="18"/>
        </w:rPr>
        <w:t xml:space="preserve"> </w:t>
      </w:r>
    </w:p>
    <w:p w14:paraId="75223A05" w14:textId="77777777" w:rsidR="00D9585F" w:rsidRPr="000950C0" w:rsidRDefault="00D9585F" w:rsidP="00D9585F">
      <w:pPr>
        <w:pStyle w:val="Heading4"/>
        <w:ind w:left="720"/>
        <w:jc w:val="both"/>
        <w:rPr>
          <w:rFonts w:ascii="Calibri" w:eastAsia="Calibri" w:hAnsi="Calibri" w:cs="Calibri"/>
          <w:i w:val="0"/>
          <w:iCs w:val="0"/>
          <w:color w:val="auto"/>
          <w:sz w:val="18"/>
          <w:szCs w:val="18"/>
        </w:rPr>
      </w:pPr>
      <w:r w:rsidRPr="000950C0">
        <w:rPr>
          <w:rFonts w:ascii="Calibri" w:eastAsia="Calibri" w:hAnsi="Calibri" w:cs="Calibri"/>
          <w:i w:val="0"/>
          <w:iCs w:val="0"/>
          <w:color w:val="auto"/>
          <w:sz w:val="18"/>
          <w:szCs w:val="18"/>
        </w:rPr>
        <w:t>Phone Number: 1-855-636-3669</w:t>
      </w:r>
    </w:p>
    <w:p w14:paraId="263AC4E2" w14:textId="77777777" w:rsidR="00227315" w:rsidRDefault="00227315">
      <w:pPr>
        <w:pStyle w:val="BodyText"/>
        <w:spacing w:before="8"/>
        <w:rPr>
          <w:sz w:val="25"/>
        </w:rPr>
      </w:pPr>
    </w:p>
    <w:p w14:paraId="263AC4E3" w14:textId="77777777" w:rsidR="00227315" w:rsidRDefault="004174AE">
      <w:pPr>
        <w:pStyle w:val="Heading1"/>
        <w:spacing w:line="218" w:lineRule="exact"/>
        <w:ind w:left="144"/>
      </w:pPr>
      <w:r>
        <w:rPr>
          <w:color w:val="3A3838"/>
        </w:rPr>
        <w:t>Employee Assistance Plan and Counseling</w:t>
      </w:r>
    </w:p>
    <w:p w14:paraId="263AC4E4" w14:textId="46C5958D" w:rsidR="00227315" w:rsidRDefault="004174AE">
      <w:pPr>
        <w:pStyle w:val="BodyText"/>
        <w:spacing w:before="2" w:line="235" w:lineRule="auto"/>
        <w:ind w:left="144" w:right="3647"/>
        <w:rPr>
          <w:color w:val="3A383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63AC4FB" wp14:editId="263AC4FC">
            <wp:simplePos x="0" y="0"/>
            <wp:positionH relativeFrom="page">
              <wp:posOffset>5637136</wp:posOffset>
            </wp:positionH>
            <wp:positionV relativeFrom="paragraph">
              <wp:posOffset>35837</wp:posOffset>
            </wp:positionV>
            <wp:extent cx="1859630" cy="28892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630" cy="288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</w:rPr>
        <w:t xml:space="preserve">The comprehensive Employee Assistance Plan (EAP) is provided by </w:t>
      </w:r>
      <w:proofErr w:type="spellStart"/>
      <w:r>
        <w:rPr>
          <w:color w:val="3A3838"/>
        </w:rPr>
        <w:t>CuraLinc</w:t>
      </w:r>
      <w:proofErr w:type="spellEnd"/>
      <w:r>
        <w:rPr>
          <w:color w:val="3A3838"/>
        </w:rPr>
        <w:t xml:space="preserve">. Their </w:t>
      </w:r>
      <w:proofErr w:type="spellStart"/>
      <w:r>
        <w:rPr>
          <w:color w:val="3A3838"/>
        </w:rPr>
        <w:t>SupportLinc</w:t>
      </w:r>
      <w:proofErr w:type="spellEnd"/>
      <w:r>
        <w:rPr>
          <w:color w:val="3A3838"/>
        </w:rPr>
        <w:t xml:space="preserve"> program is staffed by professional, licensed counselors available to members by phone 24/7/365 at no cost. Provides up to three (3) face-to-face counseling sessions per presenting issue for a wide array of personal and work-related concerns at no cost. </w:t>
      </w:r>
    </w:p>
    <w:p w14:paraId="250711F3" w14:textId="77777777" w:rsidR="000950C0" w:rsidRDefault="000950C0">
      <w:pPr>
        <w:pStyle w:val="BodyText"/>
        <w:spacing w:before="2" w:line="235" w:lineRule="auto"/>
        <w:ind w:left="144" w:right="3647"/>
      </w:pPr>
    </w:p>
    <w:p w14:paraId="263AC4E5" w14:textId="77777777" w:rsidR="00227315" w:rsidRDefault="004174AE">
      <w:pPr>
        <w:pStyle w:val="BodyText"/>
        <w:spacing w:before="55"/>
        <w:ind w:left="186"/>
      </w:pPr>
      <w:r>
        <w:rPr>
          <w:color w:val="3A3838"/>
        </w:rPr>
        <w:t>1-888-881-5462</w:t>
      </w:r>
    </w:p>
    <w:p w14:paraId="263AC4E6" w14:textId="77777777" w:rsidR="00227315" w:rsidRDefault="008F711A">
      <w:pPr>
        <w:pStyle w:val="BodyText"/>
        <w:spacing w:before="1"/>
        <w:ind w:left="204"/>
      </w:pPr>
      <w:hyperlink r:id="rId12">
        <w:r w:rsidR="004174AE">
          <w:rPr>
            <w:color w:val="0562C1"/>
            <w:u w:val="single" w:color="0562C1"/>
          </w:rPr>
          <w:t>www.supportlinc.com</w:t>
        </w:r>
      </w:hyperlink>
    </w:p>
    <w:p w14:paraId="263AC4E7" w14:textId="77777777" w:rsidR="00227315" w:rsidRDefault="004174AE">
      <w:pPr>
        <w:pStyle w:val="Heading1"/>
        <w:spacing w:before="27"/>
        <w:ind w:left="170"/>
      </w:pPr>
      <w:r>
        <w:rPr>
          <w:color w:val="3A3838"/>
        </w:rPr>
        <w:t>Username: coterie</w:t>
      </w:r>
    </w:p>
    <w:p w14:paraId="263AC4E8" w14:textId="77777777" w:rsidR="00227315" w:rsidRDefault="00227315">
      <w:pPr>
        <w:pStyle w:val="BodyText"/>
        <w:spacing w:before="6"/>
        <w:rPr>
          <w:b/>
          <w:sz w:val="29"/>
        </w:rPr>
      </w:pPr>
    </w:p>
    <w:p w14:paraId="263AC4E9" w14:textId="77777777" w:rsidR="00227315" w:rsidRDefault="004174AE">
      <w:pPr>
        <w:spacing w:before="64"/>
        <w:ind w:left="146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263AC4FD" wp14:editId="263AC4FE">
            <wp:simplePos x="0" y="0"/>
            <wp:positionH relativeFrom="page">
              <wp:posOffset>5552745</wp:posOffset>
            </wp:positionH>
            <wp:positionV relativeFrom="paragraph">
              <wp:posOffset>177502</wp:posOffset>
            </wp:positionV>
            <wp:extent cx="2031627" cy="51846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627" cy="5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Health Services Hub</w:t>
      </w:r>
    </w:p>
    <w:p w14:paraId="263AC4EA" w14:textId="77777777" w:rsidR="00227315" w:rsidRDefault="004174AE">
      <w:pPr>
        <w:pStyle w:val="BodyText"/>
        <w:spacing w:before="127" w:line="290" w:lineRule="auto"/>
        <w:ind w:left="130" w:right="4944"/>
      </w:pPr>
      <w:r>
        <w:t xml:space="preserve">Access </w:t>
      </w:r>
      <w:proofErr w:type="gramStart"/>
      <w:r>
        <w:t>all of</w:t>
      </w:r>
      <w:proofErr w:type="gramEnd"/>
      <w:r>
        <w:t xml:space="preserve"> your Enhanced Benefits listed above through a single member portal! </w:t>
      </w:r>
      <w:hyperlink r:id="rId14">
        <w:r>
          <w:rPr>
            <w:color w:val="0562C1"/>
            <w:u w:val="single" w:color="0562C1"/>
          </w:rPr>
          <w:t>www.healthserviceshub.com</w:t>
        </w:r>
      </w:hyperlink>
    </w:p>
    <w:p w14:paraId="263AC4EB" w14:textId="77777777" w:rsidR="00227315" w:rsidRDefault="004174AE">
      <w:pPr>
        <w:pStyle w:val="BodyText"/>
        <w:spacing w:line="168" w:lineRule="exact"/>
        <w:ind w:left="130"/>
      </w:pPr>
      <w:r>
        <w:t>Login with your Member ID</w:t>
      </w:r>
    </w:p>
    <w:p w14:paraId="263AC4EC" w14:textId="44B86884" w:rsidR="00227315" w:rsidRDefault="004174AE">
      <w:pPr>
        <w:pStyle w:val="BodyText"/>
        <w:spacing w:line="218" w:lineRule="exact"/>
        <w:ind w:left="130"/>
      </w:pPr>
      <w:r>
        <w:t>Passcode: benefits18</w:t>
      </w:r>
    </w:p>
    <w:p w14:paraId="718E7A93" w14:textId="7252B7DB" w:rsidR="00210ADD" w:rsidRDefault="00210ADD">
      <w:pPr>
        <w:pStyle w:val="BodyText"/>
        <w:spacing w:line="218" w:lineRule="exact"/>
        <w:ind w:left="130"/>
      </w:pPr>
    </w:p>
    <w:p w14:paraId="73B32355" w14:textId="3B969FFA" w:rsidR="00210ADD" w:rsidRDefault="00210ADD">
      <w:pPr>
        <w:pStyle w:val="BodyText"/>
        <w:spacing w:line="218" w:lineRule="exact"/>
        <w:ind w:left="130"/>
      </w:pPr>
    </w:p>
    <w:p w14:paraId="1C841F93" w14:textId="13E6AA46" w:rsidR="008F711A" w:rsidRDefault="008F711A">
      <w:pPr>
        <w:pStyle w:val="BodyText"/>
        <w:spacing w:line="218" w:lineRule="exact"/>
        <w:ind w:left="130"/>
        <w:rPr>
          <w:b/>
        </w:rPr>
      </w:pPr>
      <w:r>
        <w:rPr>
          <w:b/>
        </w:rPr>
        <w:t>Administrative Concepts Inc.</w:t>
      </w:r>
    </w:p>
    <w:p w14:paraId="131EEDBD" w14:textId="297F6B1C" w:rsidR="008F711A" w:rsidRDefault="008F711A">
      <w:pPr>
        <w:pStyle w:val="BodyText"/>
        <w:spacing w:line="218" w:lineRule="exact"/>
        <w:ind w:left="130"/>
        <w:rPr>
          <w:rFonts w:ascii="OpenSans-Bold" w:eastAsiaTheme="minorHAnsi" w:hAnsi="OpenSans-Bold" w:cs="OpenSans-Bold"/>
          <w:b/>
          <w:bCs/>
          <w:color w:val="1E283A"/>
        </w:rPr>
      </w:pPr>
      <w:r w:rsidRPr="008F711A">
        <w:rPr>
          <w:color w:val="3A3838"/>
        </w:rPr>
        <w:t>For eligibility, benefit, and claims questions, call the program administrator, Administrative Concepts, Inc. at:</w:t>
      </w:r>
      <w:r>
        <w:rPr>
          <w:rFonts w:ascii="OpenSans-Regular" w:eastAsiaTheme="minorHAnsi" w:hAnsi="OpenSans-Regular" w:cs="OpenSans-Regular"/>
          <w:color w:val="1E283A"/>
        </w:rPr>
        <w:t xml:space="preserve"> </w:t>
      </w:r>
      <w:r>
        <w:rPr>
          <w:rFonts w:ascii="OpenSans-Bold" w:eastAsiaTheme="minorHAnsi" w:hAnsi="OpenSans-Bold" w:cs="OpenSans-Bold"/>
          <w:b/>
          <w:bCs/>
          <w:color w:val="1E283A"/>
        </w:rPr>
        <w:t>1-800-508-9238</w:t>
      </w:r>
    </w:p>
    <w:p w14:paraId="183CC8EC" w14:textId="6EF4BE9A" w:rsidR="008F711A" w:rsidRDefault="008F711A">
      <w:pPr>
        <w:pStyle w:val="BodyText"/>
        <w:spacing w:line="218" w:lineRule="exact"/>
        <w:ind w:left="130"/>
      </w:pPr>
    </w:p>
    <w:p w14:paraId="3E4114FA" w14:textId="77777777" w:rsidR="008F711A" w:rsidRDefault="008F711A">
      <w:pPr>
        <w:pStyle w:val="BodyText"/>
        <w:spacing w:line="218" w:lineRule="exact"/>
        <w:ind w:left="130"/>
      </w:pPr>
    </w:p>
    <w:p w14:paraId="0B8C5D9B" w14:textId="22EFADDF" w:rsidR="00210ADD" w:rsidRDefault="00210ADD" w:rsidP="00210ADD">
      <w:pPr>
        <w:tabs>
          <w:tab w:val="right" w:pos="10222"/>
        </w:tabs>
        <w:spacing w:before="64"/>
        <w:ind w:left="130" w:right="875"/>
      </w:pPr>
      <w:r>
        <w:rPr>
          <w:i/>
          <w:sz w:val="18"/>
        </w:rPr>
        <w:t xml:space="preserve">Fundamental Care contracts with </w:t>
      </w:r>
      <w:proofErr w:type="gramStart"/>
      <w:r>
        <w:rPr>
          <w:i/>
          <w:sz w:val="18"/>
        </w:rPr>
        <w:t>third-parties</w:t>
      </w:r>
      <w:proofErr w:type="gramEnd"/>
      <w:r>
        <w:rPr>
          <w:i/>
          <w:sz w:val="18"/>
        </w:rPr>
        <w:t xml:space="preserve"> to offer these noninsurance services.  The fees for these products are combined with Beazley insurance premiums. These third-party services are not offered or underwritten</w:t>
      </w:r>
      <w:r>
        <w:rPr>
          <w:i/>
          <w:spacing w:val="-2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Beazley.</w:t>
      </w:r>
      <w:r>
        <w:rPr>
          <w:i/>
          <w:sz w:val="18"/>
        </w:rPr>
        <w:tab/>
      </w:r>
    </w:p>
    <w:p w14:paraId="121F417D" w14:textId="54202489" w:rsidR="00210ADD" w:rsidRDefault="00210ADD">
      <w:pPr>
        <w:pStyle w:val="BodyText"/>
        <w:spacing w:line="218" w:lineRule="exact"/>
        <w:ind w:left="130"/>
      </w:pPr>
    </w:p>
    <w:sectPr w:rsidR="00210ADD">
      <w:type w:val="continuous"/>
      <w:pgSz w:w="12240" w:h="15840"/>
      <w:pgMar w:top="560" w:right="18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7302"/>
    <w:multiLevelType w:val="hybridMultilevel"/>
    <w:tmpl w:val="C65E8154"/>
    <w:lvl w:ilvl="0" w:tplc="F16450A2">
      <w:numFmt w:val="bullet"/>
      <w:lvlText w:val=""/>
      <w:lvlJc w:val="left"/>
      <w:pPr>
        <w:ind w:left="918" w:hanging="29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D06C36E">
      <w:numFmt w:val="bullet"/>
      <w:lvlText w:val="•"/>
      <w:lvlJc w:val="left"/>
      <w:pPr>
        <w:ind w:left="1938" w:hanging="294"/>
      </w:pPr>
      <w:rPr>
        <w:rFonts w:hint="default"/>
        <w:lang w:val="en-US" w:eastAsia="en-US" w:bidi="ar-SA"/>
      </w:rPr>
    </w:lvl>
    <w:lvl w:ilvl="2" w:tplc="DD800244">
      <w:numFmt w:val="bullet"/>
      <w:lvlText w:val="•"/>
      <w:lvlJc w:val="left"/>
      <w:pPr>
        <w:ind w:left="2956" w:hanging="294"/>
      </w:pPr>
      <w:rPr>
        <w:rFonts w:hint="default"/>
        <w:lang w:val="en-US" w:eastAsia="en-US" w:bidi="ar-SA"/>
      </w:rPr>
    </w:lvl>
    <w:lvl w:ilvl="3" w:tplc="2C62FDD4">
      <w:numFmt w:val="bullet"/>
      <w:lvlText w:val="•"/>
      <w:lvlJc w:val="left"/>
      <w:pPr>
        <w:ind w:left="3974" w:hanging="294"/>
      </w:pPr>
      <w:rPr>
        <w:rFonts w:hint="default"/>
        <w:lang w:val="en-US" w:eastAsia="en-US" w:bidi="ar-SA"/>
      </w:rPr>
    </w:lvl>
    <w:lvl w:ilvl="4" w:tplc="5B6A4F32">
      <w:numFmt w:val="bullet"/>
      <w:lvlText w:val="•"/>
      <w:lvlJc w:val="left"/>
      <w:pPr>
        <w:ind w:left="4992" w:hanging="294"/>
      </w:pPr>
      <w:rPr>
        <w:rFonts w:hint="default"/>
        <w:lang w:val="en-US" w:eastAsia="en-US" w:bidi="ar-SA"/>
      </w:rPr>
    </w:lvl>
    <w:lvl w:ilvl="5" w:tplc="811A2B70">
      <w:numFmt w:val="bullet"/>
      <w:lvlText w:val="•"/>
      <w:lvlJc w:val="left"/>
      <w:pPr>
        <w:ind w:left="6010" w:hanging="294"/>
      </w:pPr>
      <w:rPr>
        <w:rFonts w:hint="default"/>
        <w:lang w:val="en-US" w:eastAsia="en-US" w:bidi="ar-SA"/>
      </w:rPr>
    </w:lvl>
    <w:lvl w:ilvl="6" w:tplc="C256127A">
      <w:numFmt w:val="bullet"/>
      <w:lvlText w:val="•"/>
      <w:lvlJc w:val="left"/>
      <w:pPr>
        <w:ind w:left="7028" w:hanging="294"/>
      </w:pPr>
      <w:rPr>
        <w:rFonts w:hint="default"/>
        <w:lang w:val="en-US" w:eastAsia="en-US" w:bidi="ar-SA"/>
      </w:rPr>
    </w:lvl>
    <w:lvl w:ilvl="7" w:tplc="159A3382">
      <w:numFmt w:val="bullet"/>
      <w:lvlText w:val="•"/>
      <w:lvlJc w:val="left"/>
      <w:pPr>
        <w:ind w:left="8046" w:hanging="294"/>
      </w:pPr>
      <w:rPr>
        <w:rFonts w:hint="default"/>
        <w:lang w:val="en-US" w:eastAsia="en-US" w:bidi="ar-SA"/>
      </w:rPr>
    </w:lvl>
    <w:lvl w:ilvl="8" w:tplc="66A4FB4E">
      <w:numFmt w:val="bullet"/>
      <w:lvlText w:val="•"/>
      <w:lvlJc w:val="left"/>
      <w:pPr>
        <w:ind w:left="9064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537733D8"/>
    <w:multiLevelType w:val="hybridMultilevel"/>
    <w:tmpl w:val="638C888A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 w16cid:durableId="802619569">
    <w:abstractNumId w:val="0"/>
  </w:num>
  <w:num w:numId="2" w16cid:durableId="143821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15"/>
    <w:rsid w:val="000950C0"/>
    <w:rsid w:val="00210ADD"/>
    <w:rsid w:val="00227315"/>
    <w:rsid w:val="00267531"/>
    <w:rsid w:val="00412028"/>
    <w:rsid w:val="004174AE"/>
    <w:rsid w:val="0056089F"/>
    <w:rsid w:val="00565394"/>
    <w:rsid w:val="006520A6"/>
    <w:rsid w:val="00836EAA"/>
    <w:rsid w:val="008F711A"/>
    <w:rsid w:val="00BE1233"/>
    <w:rsid w:val="00D9585F"/>
    <w:rsid w:val="00ED1109"/>
    <w:rsid w:val="00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C4C8"/>
  <w15:docId w15:val="{32E09429-B2C1-49D8-A7CC-012EC01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7"/>
      <w:outlineLvl w:val="0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A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10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18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210AD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174A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3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028"/>
    <w:rPr>
      <w:color w:val="800080" w:themeColor="followedHyperlink"/>
      <w:u w:val="single"/>
    </w:rPr>
  </w:style>
  <w:style w:type="paragraph" w:customStyle="1" w:styleId="Default">
    <w:name w:val="Default"/>
    <w:rsid w:val="00D9585F"/>
    <w:pPr>
      <w:widowControl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firsthealthlbp.com/fhlbpfi" TargetMode="External"/><Relationship Id="rId12" Type="http://schemas.openxmlformats.org/officeDocument/2006/relationships/hyperlink" Target="http://www.supportlinc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firsthealthlbp.com/" TargetMode="External"/><Relationship Id="rId14" Type="http://schemas.openxmlformats.org/officeDocument/2006/relationships/hyperlink" Target="http://www.healthservicesh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German</dc:creator>
  <cp:lastModifiedBy>Sara Jennings</cp:lastModifiedBy>
  <cp:revision>2</cp:revision>
  <dcterms:created xsi:type="dcterms:W3CDTF">2022-08-22T19:25:00Z</dcterms:created>
  <dcterms:modified xsi:type="dcterms:W3CDTF">2022-08-22T19:25:00Z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2020-10-30T00:00:00Z</vt:filetime>
  </property>
</Properties>
</file>